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37" w:rsidRDefault="000B363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8 мая 2018 г. N 51007</w:t>
      </w:r>
    </w:p>
    <w:p w:rsidR="000B3637" w:rsidRDefault="000B36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B3637" w:rsidRDefault="000B3637">
      <w:pPr>
        <w:pStyle w:val="ConsPlusTitle"/>
        <w:jc w:val="both"/>
      </w:pPr>
    </w:p>
    <w:p w:rsidR="000B3637" w:rsidRDefault="000B3637">
      <w:pPr>
        <w:pStyle w:val="ConsPlusTitle"/>
        <w:jc w:val="center"/>
      </w:pPr>
      <w:r>
        <w:t>ПРИКАЗ</w:t>
      </w:r>
    </w:p>
    <w:p w:rsidR="000B3637" w:rsidRDefault="000B3637">
      <w:pPr>
        <w:pStyle w:val="ConsPlusTitle"/>
        <w:jc w:val="center"/>
      </w:pPr>
      <w:r>
        <w:t>от 19 февраля 2018 г. N 73</w:t>
      </w:r>
    </w:p>
    <w:p w:rsidR="000B3637" w:rsidRDefault="000B3637">
      <w:pPr>
        <w:pStyle w:val="ConsPlusTitle"/>
        <w:jc w:val="both"/>
      </w:pPr>
    </w:p>
    <w:p w:rsidR="000B3637" w:rsidRDefault="000B3637">
      <w:pPr>
        <w:pStyle w:val="ConsPlusTitle"/>
        <w:jc w:val="center"/>
      </w:pPr>
      <w:r>
        <w:t>ОБ УТВЕРЖДЕНИИ ПОРЯДКА</w:t>
      </w:r>
    </w:p>
    <w:p w:rsidR="000B3637" w:rsidRDefault="000B3637">
      <w:pPr>
        <w:pStyle w:val="ConsPlusTitle"/>
        <w:jc w:val="center"/>
      </w:pPr>
      <w:r>
        <w:t>РАССМОТРЕНИЯ БЮДЖЕТНЫМ УЧРЕЖДЕНИЕМ, СОЗДАННЫМ</w:t>
      </w:r>
    </w:p>
    <w:p w:rsidR="000B3637" w:rsidRDefault="000B3637">
      <w:pPr>
        <w:pStyle w:val="ConsPlusTitle"/>
        <w:jc w:val="center"/>
      </w:pPr>
      <w:r>
        <w:t>СУБЪЕКТОМ РОССИЙСКОЙ ФЕДЕРАЦИИ И НАДЕЛЕННЫМ ПОЛНОМОЧИЯМИ,</w:t>
      </w:r>
    </w:p>
    <w:p w:rsidR="000B3637" w:rsidRDefault="000B3637">
      <w:pPr>
        <w:pStyle w:val="ConsPlusTitle"/>
        <w:jc w:val="center"/>
      </w:pPr>
      <w:r>
        <w:t>СВЯЗАННЫМИ С ОПРЕДЕЛЕНИЕМ КАДАСТРОВОЙ СТОИМОСТИ, ОБРАЩЕНИЯ</w:t>
      </w:r>
    </w:p>
    <w:p w:rsidR="000B3637" w:rsidRDefault="000B3637">
      <w:pPr>
        <w:pStyle w:val="ConsPlusTitle"/>
        <w:jc w:val="center"/>
      </w:pPr>
      <w:r>
        <w:t>ОБ ИСПРАВЛЕНИИ ТЕХНИЧЕСКИХ И (ИЛИ) МЕТОДОЛОГИЧЕСКИХ ОШИБОК,</w:t>
      </w:r>
    </w:p>
    <w:p w:rsidR="000B3637" w:rsidRDefault="000B3637">
      <w:pPr>
        <w:pStyle w:val="ConsPlusTitle"/>
        <w:jc w:val="center"/>
      </w:pPr>
      <w:r>
        <w:t>ДОПУЩЕННЫХ ПРИ ОПРЕДЕЛЕНИИ КАДАСТРОВОЙ СТОИМОСТИ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4823) и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2015, N 41, ст. 5671; N 46, ст. 6377, 6388; 2016, N 17, ст. 2410; N 31, ст. 5013; 2017, N 1, ст. 175; N 5, ст. 800; N 17, ст. 2569; N 33, ст. 5205; N 34, ст. 5276; N 42, ст. 6168; N 46, ст. 6790), приказываю: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стоимости.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right"/>
      </w:pPr>
      <w:r>
        <w:t>Министр</w:t>
      </w:r>
    </w:p>
    <w:p w:rsidR="000B3637" w:rsidRDefault="000B3637">
      <w:pPr>
        <w:pStyle w:val="ConsPlusNormal"/>
        <w:jc w:val="right"/>
      </w:pPr>
      <w:r>
        <w:t>М.С.ОРЕШКИН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right"/>
        <w:outlineLvl w:val="0"/>
      </w:pPr>
      <w:r>
        <w:t>Утвержден</w:t>
      </w:r>
    </w:p>
    <w:p w:rsidR="000B3637" w:rsidRDefault="000B3637">
      <w:pPr>
        <w:pStyle w:val="ConsPlusNormal"/>
        <w:jc w:val="right"/>
      </w:pPr>
      <w:r>
        <w:t>приказом Минэкономразвития России</w:t>
      </w:r>
    </w:p>
    <w:p w:rsidR="000B3637" w:rsidRDefault="000B3637">
      <w:pPr>
        <w:pStyle w:val="ConsPlusNormal"/>
        <w:jc w:val="right"/>
      </w:pPr>
      <w:r>
        <w:t>от 19.02.2018 N 73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Title"/>
        <w:jc w:val="center"/>
      </w:pPr>
      <w:bookmarkStart w:id="1" w:name="P30"/>
      <w:bookmarkEnd w:id="1"/>
      <w:r>
        <w:t>ПОРЯДОК</w:t>
      </w:r>
    </w:p>
    <w:p w:rsidR="000B3637" w:rsidRDefault="000B3637">
      <w:pPr>
        <w:pStyle w:val="ConsPlusTitle"/>
        <w:jc w:val="center"/>
      </w:pPr>
      <w:r>
        <w:t>РАССМОТРЕНИЯ БЮДЖЕТНЫМ УЧРЕЖДЕНИЕМ, СОЗДАННЫМ</w:t>
      </w:r>
    </w:p>
    <w:p w:rsidR="000B3637" w:rsidRDefault="000B3637">
      <w:pPr>
        <w:pStyle w:val="ConsPlusTitle"/>
        <w:jc w:val="center"/>
      </w:pPr>
      <w:r>
        <w:t>СУБЪЕКТОМ РОССИЙСКОЙ ФЕДЕРАЦИИ И НАДЕЛЕННЫМ ПОЛНОМОЧИЯМИ,</w:t>
      </w:r>
    </w:p>
    <w:p w:rsidR="000B3637" w:rsidRDefault="000B3637">
      <w:pPr>
        <w:pStyle w:val="ConsPlusTitle"/>
        <w:jc w:val="center"/>
      </w:pPr>
      <w:r>
        <w:t>СВЯЗАННЫМИ С ОПРЕДЕЛЕНИЕМ КАДАСТРОВОЙ СТОИМОСТИ, ОБРАЩЕНИЯ</w:t>
      </w:r>
    </w:p>
    <w:p w:rsidR="000B3637" w:rsidRDefault="000B3637">
      <w:pPr>
        <w:pStyle w:val="ConsPlusTitle"/>
        <w:jc w:val="center"/>
      </w:pPr>
      <w:r>
        <w:t>ОБ ИСПРАВЛЕНИИ ТЕХНИЧЕСКИХ И (ИЛИ) МЕТОДОЛОГИЧЕСКИХ ОШИБОК,</w:t>
      </w:r>
    </w:p>
    <w:p w:rsidR="000B3637" w:rsidRDefault="000B3637">
      <w:pPr>
        <w:pStyle w:val="ConsPlusTitle"/>
        <w:jc w:val="center"/>
      </w:pPr>
      <w:r>
        <w:t>ДОПУЩЕННЫХ ПРИ ОПРЕДЕЛЕНИИ КАДАСТРОВОЙ СТОИМОСТИ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ind w:firstLine="540"/>
        <w:jc w:val="both"/>
      </w:pPr>
      <w:r>
        <w:t xml:space="preserve">1. Настоящий Порядок определяет правила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учреждение), обращения об исправлении технических и (или) методологических ошибок, допущенных при определении </w:t>
      </w:r>
      <w:r>
        <w:lastRenderedPageBreak/>
        <w:t>кадастровой стоимости (далее - обращение об исправлении ошибок).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6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4823) (далее - Закон о государственной кадастровой оценке) ошибками, допущенными при определении кадастровой стоимости, являются: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1) единичная техническая ошибка (описка, опечатка, арифметическая ошибка или иная подобная ошибка), допущенная при определении кадастровой стоимости одного объекта недвижимости и повлиявшая на величину его кадастровой стоимости (далее - единичная техническая ошибка);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2) системная техническая ошибка (описка, опечатка, арифметическая ошибка или иная подобная ошибка), допущенная при определении кадастровой стоимости нескольких объектов недвижимости и повлиявшая на величину их кадастровой стоимости (далее - системная техническая ошибка);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3) единичная методологическая ошибка (несоответствие определения кадастровой стоимости положениям </w:t>
      </w:r>
      <w:hyperlink r:id="rId7" w:history="1">
        <w:r>
          <w:rPr>
            <w:color w:val="0000FF"/>
          </w:rPr>
          <w:t>методических указаний</w:t>
        </w:r>
      </w:hyperlink>
      <w:r>
        <w:t xml:space="preserve"> о государственной кадастровой оценке, утвержденных приказом Минэкономразвития России от 12 мая 2017 г. N 226 "Об утверждении методических указаний о государственной кадастровой оценке" (зарегистрирован Минюстом России 29 мая 2017 г., регистрационный N 46860) (далее - методические указания о государственной кадастровой оценке), допущенная при определении кадастровой стоимости одного объекта недвижимости и повлиявшая на величину его кадастровой стоимости (далее - единичная методологическая ошибка);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4) системная методологическая ошибка (несоответствие определения кадастровой стоимости положениям </w:t>
      </w:r>
      <w:hyperlink r:id="rId8" w:history="1">
        <w:r>
          <w:rPr>
            <w:color w:val="0000FF"/>
          </w:rPr>
          <w:t>методических указаний</w:t>
        </w:r>
      </w:hyperlink>
      <w:r>
        <w:t xml:space="preserve"> о государственной кадастровой оценке), допущенная при определении кадастровой стоимости нескольких объектов недвижимости и повлиявшая на величину их кадастровой стоимости (далее - системная методологическая ошибка).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3. Рассмотрение обращений об исправлении ошибок осуществляется бюджетным учреждением, составившим отчет об итогах государственной кадастровой оценки при проведении государственной кадастровой оценки или определившим кадастровую стоимость в соответствии со </w:t>
      </w:r>
      <w:hyperlink r:id="rId9" w:history="1">
        <w:r>
          <w:rPr>
            <w:color w:val="0000FF"/>
          </w:rPr>
          <w:t>статьями 16</w:t>
        </w:r>
      </w:hyperlink>
      <w:r>
        <w:t xml:space="preserve">, </w:t>
      </w:r>
      <w:hyperlink r:id="rId10" w:history="1">
        <w:r>
          <w:rPr>
            <w:color w:val="0000FF"/>
          </w:rPr>
          <w:t>20</w:t>
        </w:r>
      </w:hyperlink>
      <w:r>
        <w:t xml:space="preserve"> или </w:t>
      </w:r>
      <w:hyperlink r:id="rId11" w:history="1">
        <w:r>
          <w:rPr>
            <w:color w:val="0000FF"/>
          </w:rPr>
          <w:t>21</w:t>
        </w:r>
      </w:hyperlink>
      <w:r>
        <w:t xml:space="preserve"> Закона о государственной кадастровой оценке.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2" w:history="1">
        <w:r>
          <w:rPr>
            <w:color w:val="0000FF"/>
          </w:rPr>
          <w:t>частью 7 статьи 21</w:t>
        </w:r>
      </w:hyperlink>
      <w:r>
        <w:t xml:space="preserve"> Закона о государственной кадастровой оценке днем подачи обращения об исправлении ошибок считается день его представления в бюджетное учреждение или многофункциональный центр предоставления государственных и муниципальных услуг,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портал государственных и муниципальных услуг.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5. Днем поступления обращения об исправлении ошибок считается день его регистрации бюджетным учреждением.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6. В случае личного обращения лица, указанного в </w:t>
      </w:r>
      <w:hyperlink r:id="rId13" w:history="1">
        <w:r>
          <w:rPr>
            <w:color w:val="0000FF"/>
          </w:rPr>
          <w:t>части 3 статьи 21</w:t>
        </w:r>
      </w:hyperlink>
      <w:r>
        <w:t xml:space="preserve"> Закона о государственной кадастровой оценке (далее - заявитель), в бюджетное учреждение обращение об исправлении ошибок регистрируется незамедлительно, в его присутствии. Дата регистрации обращения об исправлении ошибок указывается на штампе бюджетного учреждения, который проставляется на копии такого обращения, выдаваемой бюджетным учреждением.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7. В случае личного обращения заявителя в многофункциональный центр предоставления государственных и муниципальных услуг, в случае направления обращения об исправлении </w:t>
      </w:r>
      <w:r>
        <w:lastRenderedPageBreak/>
        <w:t>ошибок посредством почтового отправления, а также в электронной форме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обращение об исправлении ошибок регистрируется бюджетным учреждением в день его фактического получения.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В случае фактического получения обращения об исправлении ошибок бюджетным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8. В соответствии с </w:t>
      </w:r>
      <w:hyperlink r:id="rId14" w:history="1">
        <w:r>
          <w:rPr>
            <w:color w:val="0000FF"/>
          </w:rPr>
          <w:t>частью 17 статьи 21</w:t>
        </w:r>
      </w:hyperlink>
      <w:r>
        <w:t xml:space="preserve"> Закона о государственной кадастровой оценке бюджетное учреждение рассматривает обращение об исправлении ошибок в течение тридцати дней со дня его поступления, за исключением случаев необходимости получения информации, не имеющейся в распоряжении бюджетного учреждения.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В случае необходимости получения информации, не имеющейся в распоряжении бюджетного учреждения, для рассмотрения обращения об исправлении ошибок срок рассмотрения такого обращения может быть в соответствии с </w:t>
      </w:r>
      <w:hyperlink r:id="rId15" w:history="1">
        <w:r>
          <w:rPr>
            <w:color w:val="0000FF"/>
          </w:rPr>
          <w:t>частью 18 статьи 21</w:t>
        </w:r>
      </w:hyperlink>
      <w:r>
        <w:t xml:space="preserve"> Закона о государственной кадастровой оценке увеличен на тридцать дней, о чем бюджетное учреждение обязано уведомить заявителя в течение тридцати дней со дня поступления обращения об исправлении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9. В случае если способ получения информации (в том числе почтовым отправлением или по электронной почте) о рассмотрении обращения об исправлении ошибок не указан в таком обращении, то уведомление об увеличении срока рассмотрения обращения об исправлении ошибок направляется заявителю по адресам, содержащимся в обращении об исправлении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При предоставлении документов непосредственно заявителю бюджетное учреждение в день подписания уведомления об увеличении срока рассмотрения обращения об исправлении ошибок сообщает заявителю о готовности такого документа к выдаче по телефону или электронной почте, в случае если данные о них указаны в обращении об исправлении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10. Рассмотрение обращения об исправлении ошибок осуществляется без взимания платы.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11. После принятия к рассмотрению обращения об исправлении ошибок бюджетное учреждение обязано проверить расчет кадастровой стоимости объекта недвижимости (объектов недвижимости), указанного (указанных) в обращении об исправлении ошибок, при соответствии обращения об исправлении ошибок </w:t>
      </w:r>
      <w:hyperlink r:id="rId16" w:history="1">
        <w:r>
          <w:rPr>
            <w:color w:val="0000FF"/>
          </w:rPr>
          <w:t>частям 4</w:t>
        </w:r>
      </w:hyperlink>
      <w:r>
        <w:t xml:space="preserve">, </w:t>
      </w:r>
      <w:hyperlink r:id="rId17" w:history="1">
        <w:r>
          <w:rPr>
            <w:color w:val="0000FF"/>
          </w:rPr>
          <w:t>5</w:t>
        </w:r>
      </w:hyperlink>
      <w:r>
        <w:t xml:space="preserve">, </w:t>
      </w:r>
      <w:hyperlink r:id="rId18" w:history="1">
        <w:r>
          <w:rPr>
            <w:color w:val="0000FF"/>
          </w:rPr>
          <w:t>8</w:t>
        </w:r>
      </w:hyperlink>
      <w:r>
        <w:t xml:space="preserve"> и </w:t>
      </w:r>
      <w:hyperlink r:id="rId19" w:history="1">
        <w:r>
          <w:rPr>
            <w:color w:val="0000FF"/>
          </w:rPr>
          <w:t>9 статьи 21</w:t>
        </w:r>
      </w:hyperlink>
      <w:r>
        <w:t xml:space="preserve"> Закона о государственной кадастровой оценке на наличие технических и методологических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12. Бюджетное учреждение при необходимости в течение срока рассмотрения обращения об исправлении ошибок: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1) направляет запросы в федеральные органы исполнительной власти и подведомственные им организации, в частности в организации, указанные в </w:t>
      </w:r>
      <w:hyperlink r:id="rId20" w:history="1">
        <w:r>
          <w:rPr>
            <w:color w:val="0000FF"/>
          </w:rPr>
          <w:t>части 21 статьи 21</w:t>
        </w:r>
      </w:hyperlink>
      <w:r>
        <w:t xml:space="preserve"> Закона о государственной кадастровой оценке, органы исполнительной власти субъекта Российской Федерации и органы местного самоуправления, а также в подведомственные им организации;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2) запрашивает дополнительную информацию у заявителя;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3) направляет запросы правообладателям объектов недвижимости, при наличии у бюджетного учреждения информации о таких правообладателях, в отношении кадастровой стоимости которых рассматривается обращение об исправлении ошибок, в том числе и не указанных в таком обращении, если в ходе рассмотрения указанного обращения установлено, что допущенные ошибки являются системными.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13. В случае выявления системных ошибок бюджетное учреждение направляет уведомление </w:t>
      </w:r>
      <w:r>
        <w:lastRenderedPageBreak/>
        <w:t>правообладателям объектов недвижимости, в отношении кадастровой стоимости которых выявлены системные ошибки, при наличии у бюджетного учреждения информации о таких правообладателях, до даты исправления таких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14. В соответствии с </w:t>
      </w:r>
      <w:hyperlink r:id="rId21" w:history="1">
        <w:r>
          <w:rPr>
            <w:color w:val="0000FF"/>
          </w:rPr>
          <w:t>частью 13 статьи 21</w:t>
        </w:r>
      </w:hyperlink>
      <w:r>
        <w:t xml:space="preserve"> Закона о государственной кадастровой оценке по итогам рассмотрения обращения об исправлении ошибок бюджетным учреждением могут быть приняты: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1) решение о пересчете кадастровой стоимости в связи с наличием технической и (или) методологической ошибок (далее - решение о пересчете кадастровой стоимости);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2) решение об отказе в пересчете кадастровой стоимости, если наличие технической и (или) методологической ошибок не выявлено (далее - решение об отказе в пересчете кадастровой стоимости).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15. В соответствии с </w:t>
      </w:r>
      <w:hyperlink r:id="rId22" w:history="1">
        <w:r>
          <w:rPr>
            <w:color w:val="0000FF"/>
          </w:rPr>
          <w:t>частью 16 статьи 21</w:t>
        </w:r>
      </w:hyperlink>
      <w:r>
        <w:t xml:space="preserve"> Закона о государственной кадастровой оценке в случае исправления технической и (или) методологической ошибок допускается изменение кадастровой стоимости, полученной после исправления таких ошибок, только в сторону понижения.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16. Решение о пересчете кадастровой стоимости должно содержать: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1) реквизиты обращения об исправлении ошибок;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2) информацию о заявителе;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3) кадастровый номер (кадастровые номера) и адрес (адреса) (при наличии) объекта недвижимости (объектов недвижимости), при определении кадастровой стоимости которого (которых) были допущены ошибки, в отношении которого (которых) подано обращение об исправлении ошибок;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4) информацию о проведенной проверке на наличие технических и (или) методологических ошибок;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5) информацию о виде допущенных ошибок (единичная техническая ошибка, системная техническая ошибка, единичная методологическая ошибка, системная методологическая ошибка);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6) кадастровую стоимость объекта недвижимости (объектов недвижимости), в отношении которого (которых) подано обращение об исправлении ошибок, определенную в результате исправления допущенных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17. Пересчет кадастровой стоимости объектов недвижимости в связи с исправлением бюджетным учреждением системной технической и (или) системной методологической ошибок, выявленных в результате рассмотрения обращения об исправлении ошибок и допущенных при определении кадастровой стоимости объекта недвижимости (объектов недвижимости), в отношении которого (которых) не подано обращение об исправлении ошибок, осуществляется на основании решения бюджетного учреждения об исправлении ошибок, допущенных при определении кадастровой стоимости, которое принимается в течение пяти рабочих дней с даты выявления системной технической и (или) системной методологической ошибок, но не позднее срока, установленного </w:t>
      </w:r>
      <w:hyperlink w:anchor="P72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0B3637" w:rsidRDefault="000B3637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Пересчет кадастровой стоимости объектов недвижимости в связи с принятием решения бюджетного учреждения об исправлении ошибок, допущенных при определении кадастровой стоимости, осуществляется в течение шестидесяти дней со дня поступления обращения об исправлении ошибок, обращения о предоставлении разъяснений, связанных с определением кадастровой стоимости.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lastRenderedPageBreak/>
        <w:t>18. Решение об отказе в пересчете кадастровой стоимости должно содержать: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1) реквизиты обращения об исправлении ошибок;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2) информацию о заявителе (при ее наличии в обращении об исправлении ошибок);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3) кадастровый номер (кадастровые номера) и адрес (адреса) (при наличии) объекта недвижимости (объектов недвижимости), в отношении которого (которых) подано обращение об исправлении ошибок (при их наличии в обращении об исправлении ошибок);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4) информацию о проведенной проверке на наличие технических и (или) методологических ошибок, в результате которой установлено, что технические и (или) методологические ошибки не выявлены (при ее проведении);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5) указание на несоответствие обращения об исправлении ошибок </w:t>
      </w:r>
      <w:hyperlink r:id="rId23" w:history="1">
        <w:r>
          <w:rPr>
            <w:color w:val="0000FF"/>
          </w:rPr>
          <w:t>частям 4</w:t>
        </w:r>
      </w:hyperlink>
      <w:r>
        <w:t xml:space="preserve">, </w:t>
      </w:r>
      <w:hyperlink r:id="rId24" w:history="1">
        <w:r>
          <w:rPr>
            <w:color w:val="0000FF"/>
          </w:rPr>
          <w:t>5</w:t>
        </w:r>
      </w:hyperlink>
      <w:r>
        <w:t xml:space="preserve">, </w:t>
      </w:r>
      <w:hyperlink r:id="rId25" w:history="1">
        <w:r>
          <w:rPr>
            <w:color w:val="0000FF"/>
          </w:rPr>
          <w:t>8</w:t>
        </w:r>
      </w:hyperlink>
      <w:r>
        <w:t xml:space="preserve"> или </w:t>
      </w:r>
      <w:hyperlink r:id="rId26" w:history="1">
        <w:r>
          <w:rPr>
            <w:color w:val="0000FF"/>
          </w:rPr>
          <w:t>9 статьи 21</w:t>
        </w:r>
      </w:hyperlink>
      <w:r>
        <w:t xml:space="preserve"> Закона о государственной кадастровой оценке (при наличии несоответствия).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19. Бюджетное учреждение по итогам рассмотрения обращения об исправлении ошибок направляет заявителю ответ, а также правообладателям объектов недвижимости, в отношении которых принято решение о пересчете кадастровой стоимости, при наличии у бюджетного учреждения информации о правообладателях объектов недвижимости, уведомление о принятом решении с приложением его копии (далее - уведомление о принятом решении), подписанные руководителем бюджетного учреждения или уполномоченным им лицом.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20. В случае если способ получения информации о рассмотрении обращения об исправлении ошибок (в том числе почтовым отправлением или по электронной почте) не указан в таком обращении, то ответ на обращение об исправлении ошибок направляется заявителю по адресам, содержащимся в указанном обращении.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>При предоставлении документов непосредственно заявителю бюджетное учреждение в день подписания руководителем бюджетного учреждения или уполномоченным им лицом ответа сообщает заявителю о готовности документов к выдаче по телефону или электронной почте, в случае если данные о них указаны в обращении об исправлении ошибок.</w:t>
      </w:r>
    </w:p>
    <w:p w:rsidR="000B3637" w:rsidRDefault="000B3637">
      <w:pPr>
        <w:pStyle w:val="ConsPlusNormal"/>
        <w:spacing w:before="220"/>
        <w:ind w:firstLine="540"/>
        <w:jc w:val="both"/>
      </w:pPr>
      <w:r>
        <w:t xml:space="preserve">21. В целях обеспечения открытости работы бюджетное учреждение на своем официальном сайте в сети "Интернет" размещает принятые решения (в полном объеме) в течение семи дней со дня их принятия, а также обобщенную информацию о принимаемых решениях, обновляемую не позднее первого числа каждого месяца, с соблюдением требований о конфиденциальности в отношении персональных данных заявителей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4196; N 49, ст. 6409; 2011, N 23, ст. 3263; N 31, ст. 4701; 2013, N 14, ст. 1651; N 30, ст. 4038; N 51, ст. 6683; 2014, N 23, ст. 2927; N 30, ст. 4217, 4243; 2016, N 27, ст. 4164; 2017, N 9, ст. 1276; N 27, ст. 3945; N 31, ст. 4772).</w:t>
      </w: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jc w:val="both"/>
      </w:pPr>
    </w:p>
    <w:p w:rsidR="000B3637" w:rsidRDefault="000B36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543" w:rsidRDefault="00EE3543"/>
    <w:sectPr w:rsidR="00EE3543" w:rsidSect="009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37"/>
    <w:rsid w:val="000B3637"/>
    <w:rsid w:val="0090418E"/>
    <w:rsid w:val="00E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592-69D1-4264-A7D8-39C252D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6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9F1C36D2A07D33185017684DC3564CDB7CFE100A5A86F092BF61FD0816CEC3E006EE9905AF09020BC2F090CA0190506E79E300CD8595ER7a1G" TargetMode="External"/><Relationship Id="rId13" Type="http://schemas.openxmlformats.org/officeDocument/2006/relationships/hyperlink" Target="consultantplus://offline/ref=DAB9F1C36D2A07D33185017684DC3564CDB6C1EB04AEA86F092BF61FD0816CEC3E006EE9905AF2902ABC2F090CA0190506E79E300CD8595ER7a1G" TargetMode="External"/><Relationship Id="rId18" Type="http://schemas.openxmlformats.org/officeDocument/2006/relationships/hyperlink" Target="consultantplus://offline/ref=DAB9F1C36D2A07D33185017684DC3564CDB6C1EB04AEA86F092BF61FD0816CEC3E006EE9905AF29021BC2F090CA0190506E79E300CD8595ER7a1G" TargetMode="External"/><Relationship Id="rId26" Type="http://schemas.openxmlformats.org/officeDocument/2006/relationships/hyperlink" Target="consultantplus://offline/ref=DAB9F1C36D2A07D33185017684DC3564CDB6C1EB04AEA86F092BF61FD0816CEC3E006EE9905AF2912ABC2F090CA0190506E79E300CD8595ER7a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B9F1C36D2A07D33185017684DC3564CDB6C1EB04AEA86F092BF61FD0816CEC3E006EE9905AF2912EBC2F090CA0190506E79E300CD8595ER7a1G" TargetMode="External"/><Relationship Id="rId7" Type="http://schemas.openxmlformats.org/officeDocument/2006/relationships/hyperlink" Target="consultantplus://offline/ref=DAB9F1C36D2A07D33185017684DC3564CDB7CFE100A5A86F092BF61FD0816CEC3E006EE9905AF09020BC2F090CA0190506E79E300CD8595ER7a1G" TargetMode="External"/><Relationship Id="rId12" Type="http://schemas.openxmlformats.org/officeDocument/2006/relationships/hyperlink" Target="consultantplus://offline/ref=DAB9F1C36D2A07D33185017684DC3564CDB6C1EB04AEA86F092BF61FD0816CEC3E006EE9905AF2902EBC2F090CA0190506E79E300CD8595ER7a1G" TargetMode="External"/><Relationship Id="rId17" Type="http://schemas.openxmlformats.org/officeDocument/2006/relationships/hyperlink" Target="consultantplus://offline/ref=DAB9F1C36D2A07D33185017684DC3564CDB6C1EB04AEA86F092BF61FD0816CEC3E006EE9905AF2902CBC2F090CA0190506E79E300CD8595ER7a1G" TargetMode="External"/><Relationship Id="rId25" Type="http://schemas.openxmlformats.org/officeDocument/2006/relationships/hyperlink" Target="consultantplus://offline/ref=DAB9F1C36D2A07D33185017684DC3564CDB6C1EB04AEA86F092BF61FD0816CEC3E006EE9905AF29021BC2F090CA0190506E79E300CD8595ER7a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B9F1C36D2A07D33185017684DC3564CDB6C1EB04AEA86F092BF61FD0816CEC3E006EE9905AF2902DBC2F090CA0190506E79E300CD8595ER7a1G" TargetMode="External"/><Relationship Id="rId20" Type="http://schemas.openxmlformats.org/officeDocument/2006/relationships/hyperlink" Target="consultantplus://offline/ref=DAB9F1C36D2A07D33185017684DC3564CDB6C1EB04AEA86F092BF61FD0816CEC3E006EE9905AF2922EBC2F090CA0190506E79E300CD8595ER7a1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9F1C36D2A07D33185017684DC3564CDB6C1EB04AEA86F092BF61FD0816CEC3E006EE9905AF19921BC2F090CA0190506E79E300CD8595ER7a1G" TargetMode="External"/><Relationship Id="rId11" Type="http://schemas.openxmlformats.org/officeDocument/2006/relationships/hyperlink" Target="consultantplus://offline/ref=DAB9F1C36D2A07D33185017684DC3564CDB6C1EB04AEA86F092BF61FD0816CEC3E006EE9905AF1992FBC2F090CA0190506E79E300CD8595ER7a1G" TargetMode="External"/><Relationship Id="rId24" Type="http://schemas.openxmlformats.org/officeDocument/2006/relationships/hyperlink" Target="consultantplus://offline/ref=DAB9F1C36D2A07D33185017684DC3564CDB6C1EB04AEA86F092BF61FD0816CEC3E006EE9905AF2902CBC2F090CA0190506E79E300CD8595ER7a1G" TargetMode="External"/><Relationship Id="rId5" Type="http://schemas.openxmlformats.org/officeDocument/2006/relationships/hyperlink" Target="consultantplus://offline/ref=DAB9F1C36D2A07D33185017684DC3564CDB6C9E506A9A86F092BF61FD0816CEC3E006EEB985FFBC478F32E5549FD0A050FE79D3110RDaAG" TargetMode="External"/><Relationship Id="rId15" Type="http://schemas.openxmlformats.org/officeDocument/2006/relationships/hyperlink" Target="consultantplus://offline/ref=DAB9F1C36D2A07D33185017684DC3564CDB6C1EB04AEA86F092BF61FD0816CEC3E006EE9905AF2922DBC2F090CA0190506E79E300CD8595ER7a1G" TargetMode="External"/><Relationship Id="rId23" Type="http://schemas.openxmlformats.org/officeDocument/2006/relationships/hyperlink" Target="consultantplus://offline/ref=DAB9F1C36D2A07D33185017684DC3564CDB6C1EB04AEA86F092BF61FD0816CEC3E006EE9905AF2902DBC2F090CA0190506E79E300CD8595ER7a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AB9F1C36D2A07D33185017684DC3564CDB6C1EB04AEA86F092BF61FD0816CEC3E006EE9905AF1982DBC2F090CA0190506E79E300CD8595ER7a1G" TargetMode="External"/><Relationship Id="rId19" Type="http://schemas.openxmlformats.org/officeDocument/2006/relationships/hyperlink" Target="consultantplus://offline/ref=DAB9F1C36D2A07D33185017684DC3564CDB6C1EB04AEA86F092BF61FD0816CEC3E006EE9905AF2912ABC2F090CA0190506E79E300CD8595ER7a1G" TargetMode="External"/><Relationship Id="rId4" Type="http://schemas.openxmlformats.org/officeDocument/2006/relationships/hyperlink" Target="consultantplus://offline/ref=DAB9F1C36D2A07D33185017684DC3564CDB6C1EB04AEA86F092BF61FD0816CEC3E006EE9905AF2912FBC2F090CA0190506E79E300CD8595ER7a1G" TargetMode="External"/><Relationship Id="rId9" Type="http://schemas.openxmlformats.org/officeDocument/2006/relationships/hyperlink" Target="consultantplus://offline/ref=DAB9F1C36D2A07D33185017684DC3564CDB6C1EB04AEA86F092BF61FD0816CEC3E006EE9905AF19521BC2F090CA0190506E79E300CD8595ER7a1G" TargetMode="External"/><Relationship Id="rId14" Type="http://schemas.openxmlformats.org/officeDocument/2006/relationships/hyperlink" Target="consultantplus://offline/ref=DAB9F1C36D2A07D33185017684DC3564CDB6C1EB04AEA86F092BF61FD0816CEC3E006EE9905AF2922ABC2F090CA0190506E79E300CD8595ER7a1G" TargetMode="External"/><Relationship Id="rId22" Type="http://schemas.openxmlformats.org/officeDocument/2006/relationships/hyperlink" Target="consultantplus://offline/ref=DAB9F1C36D2A07D33185017684DC3564CDB6C1EB04AEA86F092BF61FD0816CEC3E006EE9905AF2922BBC2F090CA0190506E79E300CD8595ER7a1G" TargetMode="External"/><Relationship Id="rId27" Type="http://schemas.openxmlformats.org/officeDocument/2006/relationships/hyperlink" Target="consultantplus://offline/ref=DAB9F1C36D2A07D33185017684DC3564CDB6C8E001AEA86F092BF61FD0816CEC2C0036E59152EE9128A979584ARF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 Буда Баяртоевич</dc:creator>
  <cp:keywords/>
  <dc:description/>
  <cp:lastModifiedBy>Аюшин Буда Баяртоевич</cp:lastModifiedBy>
  <cp:revision>2</cp:revision>
  <dcterms:created xsi:type="dcterms:W3CDTF">2020-11-18T06:26:00Z</dcterms:created>
  <dcterms:modified xsi:type="dcterms:W3CDTF">2020-11-18T06:27:00Z</dcterms:modified>
</cp:coreProperties>
</file>